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55" w:rsidRDefault="00556696">
      <w:pPr>
        <w:spacing w:line="520" w:lineRule="exact"/>
        <w:jc w:val="center"/>
      </w:pPr>
      <w:bookmarkStart w:id="0" w:name="_GoBack"/>
      <w:bookmarkEnd w:id="0"/>
      <w:r>
        <w:rPr>
          <w:rFonts w:ascii="標楷體" w:eastAsia="標楷體" w:hAnsi="標楷體"/>
          <w:b/>
          <w:noProof/>
          <w:sz w:val="40"/>
        </w:rPr>
        <w:drawing>
          <wp:anchor distT="0" distB="0" distL="114300" distR="114300" simplePos="0" relativeHeight="251659264" behindDoc="0" locked="0" layoutInCell="1" allowOverlap="1">
            <wp:simplePos x="0" y="0"/>
            <wp:positionH relativeFrom="column">
              <wp:posOffset>4970093</wp:posOffset>
            </wp:positionH>
            <wp:positionV relativeFrom="paragraph">
              <wp:posOffset>103948</wp:posOffset>
            </wp:positionV>
            <wp:extent cx="419096" cy="396520"/>
            <wp:effectExtent l="0" t="0" r="4" b="3530"/>
            <wp:wrapNone/>
            <wp:docPr id="1" name="Picture 2" descr="「宗教地景、療癒與社會」研究中心"/>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9096" cy="396520"/>
                    </a:xfrm>
                    <a:prstGeom prst="rect">
                      <a:avLst/>
                    </a:prstGeom>
                    <a:noFill/>
                    <a:ln>
                      <a:noFill/>
                      <a:prstDash/>
                    </a:ln>
                  </pic:spPr>
                </pic:pic>
              </a:graphicData>
            </a:graphic>
          </wp:anchor>
        </w:drawing>
      </w:r>
      <w:r>
        <w:rPr>
          <w:rFonts w:ascii="標楷體" w:eastAsia="標楷體" w:hAnsi="標楷體"/>
          <w:b/>
          <w:sz w:val="44"/>
        </w:rPr>
        <w:t>靈性、宗教與生命教育</w:t>
      </w:r>
    </w:p>
    <w:p w:rsidR="00D90B55" w:rsidRDefault="00556696">
      <w:pPr>
        <w:spacing w:line="520" w:lineRule="exact"/>
        <w:jc w:val="center"/>
        <w:rPr>
          <w:rFonts w:ascii="標楷體" w:eastAsia="標楷體" w:hAnsi="標楷體"/>
          <w:b/>
          <w:sz w:val="44"/>
          <w:szCs w:val="48"/>
        </w:rPr>
      </w:pPr>
      <w:r>
        <w:rPr>
          <w:rFonts w:ascii="標楷體" w:eastAsia="標楷體" w:hAnsi="標楷體"/>
          <w:b/>
          <w:sz w:val="44"/>
          <w:szCs w:val="48"/>
        </w:rPr>
        <w:t>影片與戲劇導讀工作坊</w:t>
      </w:r>
    </w:p>
    <w:p w:rsidR="00D90B55" w:rsidRDefault="00556696">
      <w:pPr>
        <w:pStyle w:val="1"/>
        <w:spacing w:before="0" w:after="0"/>
        <w:jc w:val="both"/>
        <w:rPr>
          <w:rFonts w:ascii="標楷體" w:hAnsi="標楷體"/>
          <w:sz w:val="24"/>
        </w:rPr>
      </w:pPr>
      <w:bookmarkStart w:id="1" w:name="_Toc153188165"/>
      <w:r>
        <w:rPr>
          <w:rFonts w:ascii="標楷體" w:hAnsi="標楷體"/>
          <w:sz w:val="24"/>
        </w:rPr>
        <w:t>壹、活動宗旨</w:t>
      </w:r>
      <w:bookmarkEnd w:id="1"/>
    </w:p>
    <w:p w:rsidR="00D90B55" w:rsidRDefault="00556696">
      <w:pPr>
        <w:spacing w:line="400" w:lineRule="exact"/>
        <w:ind w:firstLine="480"/>
        <w:jc w:val="both"/>
        <w:rPr>
          <w:rFonts w:ascii="標楷體" w:eastAsia="標楷體" w:hAnsi="標楷體"/>
        </w:rPr>
      </w:pPr>
      <w:r>
        <w:rPr>
          <w:rFonts w:ascii="標楷體" w:eastAsia="標楷體" w:hAnsi="標楷體"/>
        </w:rPr>
        <w:t>生命教育議題的核心為人，以對人、人性與自我本質之跨領域探索為基礎，並由思考素養、後設思考的方法切入，據以進行對人生的三個探問。「終極關懷」為透過哲學、生死議題與宗教的探索，掌握人生目的與意義，建立生命的終極信念。「價值思辨」為透過思辨，掌握道德善惡與生活美感的價值。「靈性修養」則是透過自覺喚醒、價值選擇、生命實踐與天人互動來修養靈性，以達幸福與至善的人生。</w:t>
      </w:r>
    </w:p>
    <w:p w:rsidR="00D90B55" w:rsidRDefault="00556696">
      <w:pPr>
        <w:spacing w:line="400" w:lineRule="exact"/>
        <w:ind w:firstLine="480"/>
        <w:jc w:val="both"/>
        <w:rPr>
          <w:rFonts w:ascii="標楷體" w:eastAsia="標楷體" w:hAnsi="標楷體"/>
        </w:rPr>
      </w:pPr>
      <w:r>
        <w:rPr>
          <w:rFonts w:ascii="標楷體" w:eastAsia="標楷體" w:hAnsi="標楷體"/>
        </w:rPr>
        <w:t>其中「靈性修養」更是生命教育重要的一環，人生中有許多不同磨練，如何突破生命困境，需仰賴靈性的覺醒與智慧，擁有慈悲外，同時學習人格修養與統整。</w:t>
      </w:r>
    </w:p>
    <w:p w:rsidR="00D90B55" w:rsidRDefault="00556696">
      <w:pPr>
        <w:spacing w:line="400" w:lineRule="exact"/>
        <w:ind w:firstLine="480"/>
        <w:jc w:val="both"/>
        <w:rPr>
          <w:rFonts w:ascii="標楷體" w:eastAsia="標楷體" w:hAnsi="標楷體"/>
        </w:rPr>
      </w:pPr>
      <w:r>
        <w:rPr>
          <w:rFonts w:ascii="標楷體" w:eastAsia="標楷體" w:hAnsi="標楷體"/>
        </w:rPr>
        <w:t>本計畫期望</w:t>
      </w:r>
      <w:r>
        <w:rPr>
          <w:rFonts w:ascii="標楷體" w:eastAsia="標楷體" w:hAnsi="標楷體"/>
        </w:rPr>
        <w:t>透過不同面向的課程，帶領教師在體驗、省思、實踐與創新的過程中，將所學習之內涵與生活連結，並將其帶回課堂。除增進生命教育授課教師專業知能外，同時培養其他領域授課教師基礎知能，將其內涵融入於不同專業領域之課程之中。</w:t>
      </w:r>
    </w:p>
    <w:p w:rsidR="00D90B55" w:rsidRDefault="00556696">
      <w:pPr>
        <w:pStyle w:val="a9"/>
        <w:numPr>
          <w:ilvl w:val="0"/>
          <w:numId w:val="1"/>
        </w:numPr>
        <w:spacing w:line="400" w:lineRule="exact"/>
        <w:jc w:val="both"/>
        <w:rPr>
          <w:rFonts w:ascii="標楷體" w:eastAsia="標楷體" w:hAnsi="標楷體"/>
          <w:b/>
        </w:rPr>
      </w:pPr>
      <w:bookmarkStart w:id="2" w:name="_Toc153188167"/>
      <w:r>
        <w:rPr>
          <w:rFonts w:ascii="標楷體" w:eastAsia="標楷體" w:hAnsi="標楷體"/>
          <w:b/>
        </w:rPr>
        <w:t>主辦單位：輔仁大學「宗教地景、療癒與社會實踐」標竿計畫。</w:t>
      </w:r>
    </w:p>
    <w:p w:rsidR="00D90B55" w:rsidRDefault="00556696">
      <w:pPr>
        <w:pStyle w:val="a9"/>
        <w:spacing w:line="400" w:lineRule="exact"/>
        <w:ind w:left="500"/>
        <w:jc w:val="both"/>
        <w:rPr>
          <w:rFonts w:ascii="標楷體" w:eastAsia="標楷體" w:hAnsi="標楷體"/>
          <w:b/>
        </w:rPr>
      </w:pPr>
      <w:r>
        <w:rPr>
          <w:rFonts w:ascii="標楷體" w:eastAsia="標楷體" w:hAnsi="標楷體"/>
          <w:b/>
        </w:rPr>
        <w:t>協辦單位：生命教育專業展中心</w:t>
      </w:r>
    </w:p>
    <w:p w:rsidR="00D90B55" w:rsidRDefault="00556696">
      <w:pPr>
        <w:pStyle w:val="a9"/>
        <w:numPr>
          <w:ilvl w:val="0"/>
          <w:numId w:val="1"/>
        </w:numPr>
        <w:spacing w:line="400" w:lineRule="exact"/>
        <w:jc w:val="both"/>
        <w:rPr>
          <w:rFonts w:ascii="標楷體" w:eastAsia="標楷體" w:hAnsi="標楷體"/>
          <w:b/>
        </w:rPr>
      </w:pPr>
      <w:r>
        <w:rPr>
          <w:rFonts w:ascii="標楷體" w:eastAsia="標楷體" w:hAnsi="標楷體"/>
          <w:b/>
        </w:rPr>
        <w:t>參與對象</w:t>
      </w:r>
    </w:p>
    <w:p w:rsidR="00D90B55" w:rsidRDefault="00556696">
      <w:pPr>
        <w:pStyle w:val="a9"/>
        <w:numPr>
          <w:ilvl w:val="0"/>
          <w:numId w:val="3"/>
        </w:numPr>
        <w:spacing w:line="400" w:lineRule="exact"/>
        <w:jc w:val="both"/>
        <w:rPr>
          <w:rFonts w:ascii="標楷體" w:eastAsia="標楷體" w:hAnsi="標楷體"/>
          <w:color w:val="FF0000"/>
        </w:rPr>
      </w:pPr>
      <w:r>
        <w:rPr>
          <w:rFonts w:ascii="標楷體" w:eastAsia="標楷體" w:hAnsi="標楷體"/>
          <w:color w:val="FF0000"/>
        </w:rPr>
        <w:t>全國各大專院校對於生命教育議題融入有興趣之師生與師培生。</w:t>
      </w:r>
    </w:p>
    <w:p w:rsidR="00D90B55" w:rsidRDefault="00556696">
      <w:pPr>
        <w:pStyle w:val="a9"/>
        <w:numPr>
          <w:ilvl w:val="0"/>
          <w:numId w:val="2"/>
        </w:numPr>
        <w:spacing w:line="400" w:lineRule="exact"/>
        <w:jc w:val="both"/>
        <w:rPr>
          <w:rFonts w:ascii="標楷體" w:eastAsia="標楷體" w:hAnsi="標楷體"/>
          <w:color w:val="FF0000"/>
        </w:rPr>
      </w:pPr>
      <w:r>
        <w:rPr>
          <w:rFonts w:ascii="標楷體" w:eastAsia="標楷體" w:hAnsi="標楷體"/>
          <w:color w:val="FF0000"/>
        </w:rPr>
        <w:t>全國公私立高中職（含縣立、完全中學）以下各級教育階段，生命教育授課教師及對於生命教育議題有興趣之教師。</w:t>
      </w:r>
    </w:p>
    <w:p w:rsidR="00D90B55" w:rsidRDefault="00556696">
      <w:pPr>
        <w:pStyle w:val="1"/>
        <w:numPr>
          <w:ilvl w:val="0"/>
          <w:numId w:val="1"/>
        </w:numPr>
        <w:spacing w:before="0" w:after="0"/>
        <w:jc w:val="both"/>
        <w:rPr>
          <w:rFonts w:ascii="標楷體" w:hAnsi="標楷體"/>
          <w:sz w:val="24"/>
        </w:rPr>
      </w:pPr>
      <w:r>
        <w:rPr>
          <w:rFonts w:ascii="標楷體" w:hAnsi="標楷體"/>
          <w:sz w:val="24"/>
        </w:rPr>
        <w:t>講師</w:t>
      </w:r>
    </w:p>
    <w:p w:rsidR="00D90B55" w:rsidRDefault="00556696">
      <w:pPr>
        <w:pStyle w:val="a9"/>
        <w:spacing w:line="400" w:lineRule="exact"/>
        <w:ind w:left="500"/>
        <w:jc w:val="both"/>
        <w:rPr>
          <w:rFonts w:ascii="標楷體" w:eastAsia="標楷體" w:hAnsi="標楷體"/>
        </w:rPr>
      </w:pPr>
      <w:r>
        <w:rPr>
          <w:rFonts w:ascii="標楷體" w:eastAsia="標楷體" w:hAnsi="標楷體"/>
        </w:rPr>
        <w:t>國立羅東高中生命教育教師</w:t>
      </w:r>
      <w:r>
        <w:rPr>
          <w:rFonts w:ascii="標楷體" w:eastAsia="標楷體" w:hAnsi="標楷體"/>
        </w:rPr>
        <w:t xml:space="preserve">  </w:t>
      </w:r>
      <w:r>
        <w:rPr>
          <w:rFonts w:ascii="標楷體" w:eastAsia="標楷體" w:hAnsi="標楷體"/>
        </w:rPr>
        <w:t>胡敏華老師</w:t>
      </w:r>
    </w:p>
    <w:p w:rsidR="00D90B55" w:rsidRDefault="00556696">
      <w:pPr>
        <w:spacing w:line="400" w:lineRule="exact"/>
        <w:jc w:val="both"/>
        <w:rPr>
          <w:rFonts w:ascii="標楷體" w:eastAsia="標楷體" w:hAnsi="標楷體"/>
          <w:b/>
        </w:rPr>
      </w:pPr>
      <w:r>
        <w:rPr>
          <w:rFonts w:ascii="標楷體" w:eastAsia="標楷體" w:hAnsi="標楷體"/>
          <w:b/>
        </w:rPr>
        <w:t>伍、研習時間及地點</w:t>
      </w:r>
    </w:p>
    <w:p w:rsidR="00D90B55" w:rsidRDefault="00556696">
      <w:pPr>
        <w:pStyle w:val="ac"/>
        <w:spacing w:line="400" w:lineRule="exact"/>
        <w:ind w:left="425"/>
        <w:jc w:val="both"/>
      </w:pPr>
      <w:r>
        <w:rPr>
          <w:bCs/>
          <w:color w:val="000000"/>
          <w:sz w:val="24"/>
          <w:szCs w:val="24"/>
        </w:rPr>
        <w:t>一、時間：</w:t>
      </w:r>
      <w:r>
        <w:rPr>
          <w:bCs/>
          <w:color w:val="000000"/>
          <w:sz w:val="24"/>
          <w:szCs w:val="24"/>
        </w:rPr>
        <w:t>112</w:t>
      </w:r>
      <w:r>
        <w:rPr>
          <w:bCs/>
          <w:color w:val="000000"/>
          <w:sz w:val="24"/>
          <w:szCs w:val="24"/>
        </w:rPr>
        <w:t>年</w:t>
      </w:r>
      <w:r>
        <w:rPr>
          <w:bCs/>
          <w:color w:val="000000"/>
          <w:sz w:val="24"/>
          <w:szCs w:val="24"/>
          <w:lang w:eastAsia="zh-TW"/>
        </w:rPr>
        <w:t>12</w:t>
      </w:r>
      <w:r>
        <w:rPr>
          <w:bCs/>
          <w:color w:val="000000"/>
          <w:sz w:val="24"/>
          <w:szCs w:val="24"/>
        </w:rPr>
        <w:t>月</w:t>
      </w:r>
      <w:r>
        <w:rPr>
          <w:bCs/>
          <w:color w:val="000000"/>
          <w:sz w:val="24"/>
          <w:szCs w:val="24"/>
          <w:lang w:eastAsia="zh-TW"/>
        </w:rPr>
        <w:t>22</w:t>
      </w:r>
      <w:r>
        <w:rPr>
          <w:bCs/>
          <w:color w:val="000000"/>
          <w:sz w:val="24"/>
          <w:szCs w:val="24"/>
        </w:rPr>
        <w:t>日</w:t>
      </w:r>
      <w:r>
        <w:rPr>
          <w:bCs/>
          <w:color w:val="000000"/>
          <w:sz w:val="24"/>
          <w:szCs w:val="24"/>
        </w:rPr>
        <w:t>(</w:t>
      </w:r>
      <w:r>
        <w:rPr>
          <w:bCs/>
          <w:color w:val="000000"/>
          <w:sz w:val="24"/>
          <w:szCs w:val="24"/>
        </w:rPr>
        <w:t>五</w:t>
      </w:r>
      <w:r>
        <w:rPr>
          <w:bCs/>
          <w:color w:val="000000"/>
          <w:sz w:val="24"/>
          <w:szCs w:val="24"/>
        </w:rPr>
        <w:t>) 09:00-1</w:t>
      </w:r>
      <w:r>
        <w:rPr>
          <w:bCs/>
          <w:color w:val="000000"/>
          <w:sz w:val="24"/>
          <w:szCs w:val="24"/>
          <w:lang w:eastAsia="zh-TW"/>
        </w:rPr>
        <w:t>2</w:t>
      </w:r>
      <w:r>
        <w:rPr>
          <w:bCs/>
          <w:color w:val="000000"/>
          <w:sz w:val="24"/>
          <w:szCs w:val="24"/>
        </w:rPr>
        <w:t>:00</w:t>
      </w:r>
      <w:r>
        <w:rPr>
          <w:bCs/>
          <w:color w:val="000000"/>
          <w:sz w:val="24"/>
          <w:szCs w:val="24"/>
        </w:rPr>
        <w:t>。</w:t>
      </w:r>
    </w:p>
    <w:p w:rsidR="00D90B55" w:rsidRDefault="00556696">
      <w:pPr>
        <w:pStyle w:val="ac"/>
        <w:spacing w:line="400" w:lineRule="exact"/>
        <w:jc w:val="both"/>
      </w:pPr>
      <w:r>
        <w:rPr>
          <w:bCs/>
          <w:color w:val="000000"/>
          <w:sz w:val="24"/>
          <w:szCs w:val="24"/>
        </w:rPr>
        <w:t xml:space="preserve">    </w:t>
      </w:r>
      <w:r>
        <w:rPr>
          <w:bCs/>
          <w:color w:val="000000"/>
          <w:sz w:val="24"/>
          <w:szCs w:val="24"/>
        </w:rPr>
        <w:t>二、地點：</w:t>
      </w:r>
      <w:r>
        <w:rPr>
          <w:bCs/>
          <w:color w:val="000000"/>
          <w:sz w:val="24"/>
          <w:szCs w:val="24"/>
          <w:lang w:eastAsia="zh-TW"/>
        </w:rPr>
        <w:t>YMCA</w:t>
      </w:r>
      <w:r>
        <w:rPr>
          <w:bCs/>
          <w:color w:val="000000"/>
          <w:sz w:val="24"/>
          <w:szCs w:val="24"/>
          <w:lang w:eastAsia="zh-TW"/>
        </w:rPr>
        <w:t>城中會館</w:t>
      </w:r>
      <w:r>
        <w:rPr>
          <w:bCs/>
          <w:color w:val="000000"/>
          <w:sz w:val="24"/>
          <w:szCs w:val="24"/>
          <w:lang w:eastAsia="zh-TW"/>
        </w:rPr>
        <w:t>-2</w:t>
      </w:r>
      <w:r>
        <w:rPr>
          <w:bCs/>
          <w:color w:val="000000"/>
          <w:sz w:val="24"/>
          <w:szCs w:val="24"/>
          <w:lang w:eastAsia="zh-TW"/>
        </w:rPr>
        <w:t>樓大會議室</w:t>
      </w:r>
      <w:r>
        <w:rPr>
          <w:bCs/>
          <w:color w:val="000000"/>
          <w:sz w:val="24"/>
          <w:szCs w:val="24"/>
          <w:lang w:eastAsia="zh-TW"/>
        </w:rPr>
        <w:t xml:space="preserve"> (10047</w:t>
      </w:r>
      <w:r>
        <w:rPr>
          <w:bCs/>
          <w:color w:val="000000"/>
          <w:sz w:val="24"/>
          <w:szCs w:val="24"/>
          <w:lang w:eastAsia="zh-TW"/>
        </w:rPr>
        <w:t>臺北市許昌街</w:t>
      </w:r>
      <w:r>
        <w:rPr>
          <w:bCs/>
          <w:color w:val="000000"/>
          <w:sz w:val="24"/>
          <w:szCs w:val="24"/>
          <w:lang w:eastAsia="zh-TW"/>
        </w:rPr>
        <w:t>19</w:t>
      </w:r>
      <w:r>
        <w:rPr>
          <w:bCs/>
          <w:color w:val="000000"/>
          <w:sz w:val="24"/>
          <w:szCs w:val="24"/>
          <w:lang w:eastAsia="zh-TW"/>
        </w:rPr>
        <w:t>號</w:t>
      </w:r>
      <w:r>
        <w:rPr>
          <w:bCs/>
          <w:color w:val="000000"/>
          <w:sz w:val="24"/>
          <w:szCs w:val="24"/>
          <w:lang w:eastAsia="zh-TW"/>
        </w:rPr>
        <w:t>2</w:t>
      </w:r>
      <w:r>
        <w:rPr>
          <w:bCs/>
          <w:color w:val="000000"/>
          <w:sz w:val="24"/>
          <w:szCs w:val="24"/>
          <w:lang w:eastAsia="zh-TW"/>
        </w:rPr>
        <w:t>樓</w:t>
      </w:r>
      <w:r>
        <w:rPr>
          <w:bCs/>
          <w:color w:val="000000"/>
          <w:sz w:val="24"/>
          <w:szCs w:val="24"/>
          <w:lang w:eastAsia="zh-TW"/>
        </w:rPr>
        <w:t>)</w:t>
      </w:r>
      <w:r>
        <w:rPr>
          <w:bCs/>
          <w:color w:val="000000"/>
          <w:sz w:val="24"/>
          <w:szCs w:val="24"/>
          <w:lang w:eastAsia="zh-TW"/>
        </w:rPr>
        <w:t>。</w:t>
      </w:r>
    </w:p>
    <w:p w:rsidR="00D90B55" w:rsidRDefault="00556696">
      <w:pPr>
        <w:pStyle w:val="ac"/>
        <w:numPr>
          <w:ilvl w:val="0"/>
          <w:numId w:val="4"/>
        </w:numPr>
        <w:spacing w:line="400" w:lineRule="exact"/>
        <w:jc w:val="both"/>
        <w:rPr>
          <w:b/>
          <w:color w:val="000000"/>
          <w:sz w:val="24"/>
          <w:szCs w:val="24"/>
          <w:lang w:eastAsia="zh-TW"/>
        </w:rPr>
      </w:pPr>
      <w:r>
        <w:rPr>
          <w:b/>
          <w:color w:val="000000"/>
          <w:sz w:val="24"/>
          <w:szCs w:val="24"/>
          <w:lang w:eastAsia="zh-TW"/>
        </w:rPr>
        <w:t>報名方式與核發時數</w:t>
      </w:r>
    </w:p>
    <w:p w:rsidR="00D90B55" w:rsidRDefault="00556696">
      <w:pPr>
        <w:pStyle w:val="ac"/>
        <w:numPr>
          <w:ilvl w:val="0"/>
          <w:numId w:val="5"/>
        </w:numPr>
        <w:spacing w:line="400" w:lineRule="exact"/>
        <w:jc w:val="both"/>
      </w:pPr>
      <w:r>
        <w:rPr>
          <w:color w:val="000000"/>
          <w:sz w:val="24"/>
          <w:szCs w:val="24"/>
          <w:lang w:eastAsia="zh-TW"/>
        </w:rPr>
        <w:t>大專院校之師生請填寫</w:t>
      </w:r>
      <w:r>
        <w:rPr>
          <w:color w:val="000000"/>
          <w:sz w:val="24"/>
          <w:szCs w:val="24"/>
          <w:lang w:eastAsia="zh-TW"/>
        </w:rPr>
        <w:t>google</w:t>
      </w:r>
      <w:r>
        <w:rPr>
          <w:color w:val="000000"/>
          <w:sz w:val="24"/>
          <w:szCs w:val="24"/>
          <w:lang w:eastAsia="zh-TW"/>
        </w:rPr>
        <w:t>表單：</w:t>
      </w:r>
      <w:hyperlink r:id="rId8" w:history="1">
        <w:r>
          <w:rPr>
            <w:rStyle w:val="ab"/>
            <w:sz w:val="24"/>
            <w:szCs w:val="24"/>
            <w:lang w:eastAsia="zh-TW"/>
          </w:rPr>
          <w:t>https://reurl.cc/Ny3We5</w:t>
        </w:r>
      </w:hyperlink>
    </w:p>
    <w:p w:rsidR="00D90B55" w:rsidRDefault="00556696">
      <w:pPr>
        <w:pStyle w:val="ac"/>
        <w:numPr>
          <w:ilvl w:val="0"/>
          <w:numId w:val="5"/>
        </w:numPr>
        <w:spacing w:line="400" w:lineRule="exact"/>
        <w:jc w:val="both"/>
      </w:pPr>
      <w:r>
        <w:rPr>
          <w:color w:val="000000"/>
          <w:sz w:val="24"/>
          <w:szCs w:val="24"/>
          <w:lang w:eastAsia="zh-TW"/>
        </w:rPr>
        <w:t>高中職以下教育階段教師，請至全國教師在職進修網報名，課程代碼：</w:t>
      </w:r>
      <w:r>
        <w:rPr>
          <w:color w:val="000000"/>
          <w:sz w:val="24"/>
          <w:szCs w:val="24"/>
          <w:lang w:eastAsia="zh-TW"/>
        </w:rPr>
        <w:t>4153970</w:t>
      </w:r>
      <w:r>
        <w:rPr>
          <w:color w:val="000000"/>
          <w:sz w:val="24"/>
          <w:szCs w:val="24"/>
          <w:lang w:eastAsia="zh-TW"/>
        </w:rPr>
        <w:t>。</w:t>
      </w:r>
    </w:p>
    <w:p w:rsidR="00D90B55" w:rsidRDefault="00556696">
      <w:pPr>
        <w:pStyle w:val="ac"/>
        <w:numPr>
          <w:ilvl w:val="0"/>
          <w:numId w:val="5"/>
        </w:numPr>
        <w:spacing w:line="400" w:lineRule="exact"/>
        <w:jc w:val="both"/>
      </w:pPr>
      <w:r>
        <w:rPr>
          <w:color w:val="000000"/>
          <w:sz w:val="24"/>
          <w:szCs w:val="24"/>
          <w:lang w:eastAsia="zh-TW"/>
        </w:rPr>
        <w:t>研習全程參與且核發研習時數</w:t>
      </w:r>
      <w:r>
        <w:rPr>
          <w:color w:val="000000"/>
          <w:sz w:val="24"/>
          <w:szCs w:val="24"/>
          <w:lang w:eastAsia="zh-TW"/>
        </w:rPr>
        <w:t>3</w:t>
      </w:r>
      <w:r>
        <w:rPr>
          <w:color w:val="000000"/>
          <w:sz w:val="24"/>
          <w:szCs w:val="24"/>
          <w:lang w:eastAsia="zh-TW"/>
        </w:rPr>
        <w:t>小時，請務必完成當日簽到及簽退手續。</w:t>
      </w:r>
    </w:p>
    <w:p w:rsidR="00D90B55" w:rsidRDefault="00556696">
      <w:pPr>
        <w:spacing w:line="400" w:lineRule="exact"/>
        <w:jc w:val="both"/>
        <w:rPr>
          <w:rFonts w:ascii="標楷體" w:eastAsia="標楷體" w:hAnsi="標楷體"/>
          <w:b/>
        </w:rPr>
      </w:pPr>
      <w:r>
        <w:rPr>
          <w:rFonts w:ascii="標楷體" w:eastAsia="標楷體" w:hAnsi="標楷體"/>
          <w:b/>
        </w:rPr>
        <w:t>柒、課程內容與說明</w:t>
      </w:r>
    </w:p>
    <w:p w:rsidR="00D90B55" w:rsidRDefault="00556696">
      <w:pPr>
        <w:spacing w:line="4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rPr>
        <w:t>精神病房也會迎來清晨</w:t>
      </w:r>
      <w:r>
        <w:rPr>
          <w:rFonts w:ascii="標楷體" w:eastAsia="標楷體" w:hAnsi="標楷體"/>
          <w:b/>
        </w:rPr>
        <w:t>-</w:t>
      </w:r>
    </w:p>
    <w:p w:rsidR="00D90B55" w:rsidRDefault="00556696">
      <w:pPr>
        <w:spacing w:line="400" w:lineRule="exact"/>
        <w:jc w:val="both"/>
      </w:pPr>
      <w:r>
        <w:rPr>
          <w:rFonts w:ascii="標楷體" w:eastAsia="標楷體" w:hAnsi="標楷體"/>
        </w:rPr>
        <w:t xml:space="preserve">    </w:t>
      </w:r>
      <w:r>
        <w:rPr>
          <w:rFonts w:ascii="標楷體" w:eastAsia="標楷體" w:hAnsi="標楷體"/>
        </w:rPr>
        <w:t>以一名護理師為主角，原本是位內科護理師的她因某種原因被調到精神科工作所展開的故事。當代社會對心理健康的關注度日益攀升，心理健康問題的根源相當複雜此作品以不同視角呈現，包括患者、旁觀者、家屬等，深刻探討精神疾病的本質，使觀眾更能理解這個議題。也強調了心理健康問題的重要性引起人們對於此議題的省思。</w:t>
      </w:r>
      <w:bookmarkEnd w:id="2"/>
    </w:p>
    <w:sectPr w:rsidR="00D90B55">
      <w:footerReference w:type="default" r:id="rId9"/>
      <w:pgSz w:w="11906" w:h="16838"/>
      <w:pgMar w:top="1134" w:right="1134" w:bottom="1134" w:left="1134"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96" w:rsidRDefault="00556696">
      <w:r>
        <w:separator/>
      </w:r>
    </w:p>
  </w:endnote>
  <w:endnote w:type="continuationSeparator" w:id="0">
    <w:p w:rsidR="00556696" w:rsidRDefault="0055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54" w:rsidRDefault="00556696">
    <w:pPr>
      <w:pStyle w:val="a5"/>
      <w:jc w:val="center"/>
    </w:pPr>
    <w:r>
      <w:rPr>
        <w:lang w:val="zh-TW"/>
      </w:rPr>
      <w:fldChar w:fldCharType="begin"/>
    </w:r>
    <w:r>
      <w:rPr>
        <w:lang w:val="zh-TW"/>
      </w:rPr>
      <w:instrText xml:space="preserve"> PAGE </w:instrText>
    </w:r>
    <w:r>
      <w:rPr>
        <w:lang w:val="zh-TW"/>
      </w:rPr>
      <w:fldChar w:fldCharType="separate"/>
    </w:r>
    <w:r w:rsidR="003D6438">
      <w:rPr>
        <w:noProof/>
        <w:lang w:val="zh-TW"/>
      </w:rPr>
      <w:t>1</w:t>
    </w:r>
    <w:r>
      <w:rPr>
        <w:lang w:val="zh-TW"/>
      </w:rPr>
      <w:fldChar w:fldCharType="end"/>
    </w:r>
  </w:p>
  <w:p w:rsidR="00152C54" w:rsidRDefault="005566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96" w:rsidRDefault="00556696">
      <w:r>
        <w:rPr>
          <w:color w:val="000000"/>
        </w:rPr>
        <w:separator/>
      </w:r>
    </w:p>
  </w:footnote>
  <w:footnote w:type="continuationSeparator" w:id="0">
    <w:p w:rsidR="00556696" w:rsidRDefault="005566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4CB"/>
    <w:multiLevelType w:val="multilevel"/>
    <w:tmpl w:val="AEDEFE6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18F77DF"/>
    <w:multiLevelType w:val="multilevel"/>
    <w:tmpl w:val="00B6AED6"/>
    <w:lvl w:ilvl="0">
      <w:start w:val="6"/>
      <w:numFmt w:val="ideographLegalTraditional"/>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D8138F7"/>
    <w:multiLevelType w:val="multilevel"/>
    <w:tmpl w:val="1E88B4B6"/>
    <w:lvl w:ilvl="0">
      <w:start w:val="2"/>
      <w:numFmt w:val="ideographLegalTraditional"/>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8452D9"/>
    <w:multiLevelType w:val="multilevel"/>
    <w:tmpl w:val="2466CCCE"/>
    <w:lvl w:ilvl="0">
      <w:start w:val="1"/>
      <w:numFmt w:val="taiwaneseCountingThousand"/>
      <w:lvlText w:val="%1、"/>
      <w:lvlJc w:val="left"/>
      <w:pPr>
        <w:ind w:left="1145" w:hanging="720"/>
      </w:pPr>
      <w:rPr>
        <w:rFonts w:eastAsia="標楷體"/>
        <w:color w:val="000000"/>
        <w:sz w:val="24"/>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2"/>
  </w:num>
  <w:num w:numId="2">
    <w:abstractNumId w:val="0"/>
  </w:num>
  <w:num w:numId="3">
    <w:abstractNumId w:val="0"/>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90B55"/>
    <w:rsid w:val="003D6438"/>
    <w:rsid w:val="00556696"/>
    <w:rsid w:val="00D9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8435D-9955-413E-8E55-A5083DF1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400" w:lineRule="exact"/>
      <w:outlineLvl w:val="0"/>
    </w:pPr>
    <w:rPr>
      <w:rFonts w:ascii="Calibri Light" w:eastAsia="標楷體" w:hAnsi="Calibri Light"/>
      <w:b/>
      <w:bCs/>
      <w:sz w:val="32"/>
      <w:szCs w:val="52"/>
    </w:rPr>
  </w:style>
  <w:style w:type="paragraph" w:styleId="2">
    <w:name w:val="heading 2"/>
    <w:basedOn w:val="a"/>
    <w:next w:val="a"/>
    <w:pPr>
      <w:keepNext/>
      <w:spacing w:line="400" w:lineRule="exact"/>
      <w:outlineLvl w:val="1"/>
    </w:pPr>
    <w:rPr>
      <w:rFonts w:ascii="Calibri Light" w:eastAsia="標楷體" w:hAnsi="Calibri Light"/>
      <w:b/>
      <w:bCs/>
      <w:szCs w:val="48"/>
    </w:rPr>
  </w:style>
  <w:style w:type="paragraph" w:styleId="3">
    <w:name w:val="heading 3"/>
    <w:basedOn w:val="a"/>
    <w:next w:val="a"/>
    <w:pPr>
      <w:keepNext/>
      <w:spacing w:before="20" w:line="400" w:lineRule="exact"/>
      <w:ind w:left="200"/>
      <w:outlineLvl w:val="2"/>
    </w:pPr>
    <w:rPr>
      <w:rFonts w:ascii="Times New Roman" w:eastAsia="標楷體" w:hAnsi="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0">
    <w:name w:val="標題 1 字元"/>
    <w:basedOn w:val="a0"/>
    <w:rPr>
      <w:rFonts w:ascii="Calibri Light" w:eastAsia="標楷體" w:hAnsi="Calibri Light" w:cs="Times New Roman"/>
      <w:b/>
      <w:bCs/>
      <w:kern w:val="3"/>
      <w:sz w:val="32"/>
      <w:szCs w:val="52"/>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pPr>
      <w:ind w:left="480"/>
    </w:pPr>
  </w:style>
  <w:style w:type="paragraph" w:styleId="aa">
    <w:name w:val="TOC Heading"/>
    <w:basedOn w:val="1"/>
    <w:next w:val="a"/>
    <w:pPr>
      <w:keepLines/>
      <w:widowControl/>
      <w:spacing w:before="240" w:after="0" w:line="254" w:lineRule="auto"/>
    </w:pPr>
    <w:rPr>
      <w:rFonts w:eastAsia="新細明體"/>
      <w:b w:val="0"/>
      <w:bCs w:val="0"/>
      <w:color w:val="2F5496"/>
      <w:kern w:val="0"/>
      <w:szCs w:val="32"/>
    </w:rPr>
  </w:style>
  <w:style w:type="paragraph" w:styleId="11">
    <w:name w:val="toc 1"/>
    <w:basedOn w:val="a"/>
    <w:next w:val="a"/>
    <w:autoRedefine/>
  </w:style>
  <w:style w:type="character" w:styleId="ab">
    <w:name w:val="Hyperlink"/>
    <w:basedOn w:val="a0"/>
    <w:rPr>
      <w:color w:val="0563C1"/>
      <w:u w:val="single"/>
    </w:rPr>
  </w:style>
  <w:style w:type="character" w:customStyle="1" w:styleId="20">
    <w:name w:val="標題 2 字元"/>
    <w:basedOn w:val="a0"/>
    <w:rPr>
      <w:rFonts w:ascii="Calibri Light" w:eastAsia="標楷體" w:hAnsi="Calibri Light" w:cs="Times New Roman"/>
      <w:b/>
      <w:bCs/>
      <w:szCs w:val="48"/>
    </w:rPr>
  </w:style>
  <w:style w:type="character" w:customStyle="1" w:styleId="30">
    <w:name w:val="標題 3 字元"/>
    <w:basedOn w:val="a0"/>
    <w:rPr>
      <w:rFonts w:ascii="Times New Roman" w:eastAsia="標楷體" w:hAnsi="Times New Roman" w:cs="Times New Roman"/>
      <w:b/>
      <w:bCs/>
      <w:szCs w:val="36"/>
    </w:rPr>
  </w:style>
  <w:style w:type="paragraph" w:styleId="21">
    <w:name w:val="toc 2"/>
    <w:basedOn w:val="a"/>
    <w:next w:val="a"/>
    <w:autoRedefine/>
    <w:pPr>
      <w:ind w:left="480"/>
    </w:pPr>
  </w:style>
  <w:style w:type="paragraph" w:styleId="31">
    <w:name w:val="toc 3"/>
    <w:basedOn w:val="a"/>
    <w:next w:val="a"/>
    <w:autoRedefine/>
    <w:pPr>
      <w:ind w:left="960"/>
    </w:pPr>
  </w:style>
  <w:style w:type="paragraph" w:styleId="ac">
    <w:name w:val="Body Text"/>
    <w:basedOn w:val="a"/>
    <w:rPr>
      <w:rFonts w:ascii="標楷體" w:eastAsia="標楷體" w:hAnsi="標楷體"/>
      <w:sz w:val="32"/>
      <w:szCs w:val="32"/>
      <w:lang w:eastAsia="zh-CN" w:bidi="hi-IN"/>
    </w:rPr>
  </w:style>
  <w:style w:type="character" w:customStyle="1" w:styleId="ad">
    <w:name w:val="本文 字元"/>
    <w:basedOn w:val="a0"/>
    <w:rPr>
      <w:rFonts w:ascii="標楷體" w:eastAsia="標楷體" w:hAnsi="標楷體" w:cs="Times New Roman"/>
      <w:kern w:val="3"/>
      <w:sz w:val="32"/>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Ny3We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life-1</dc:creator>
  <dc:description/>
  <cp:lastModifiedBy>USER</cp:lastModifiedBy>
  <cp:revision>2</cp:revision>
  <cp:lastPrinted>2023-12-11T09:20:00Z</cp:lastPrinted>
  <dcterms:created xsi:type="dcterms:W3CDTF">2023-12-26T04:36:00Z</dcterms:created>
  <dcterms:modified xsi:type="dcterms:W3CDTF">2023-12-26T04:36:00Z</dcterms:modified>
</cp:coreProperties>
</file>